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Ind w:w="108" w:type="dxa"/>
        <w:tblCellMar>
          <w:left w:w="0" w:type="dxa"/>
          <w:right w:w="0" w:type="dxa"/>
        </w:tblCellMar>
        <w:tblLook w:val="04A0" w:firstRow="1" w:lastRow="0" w:firstColumn="1" w:lastColumn="0" w:noHBand="0" w:noVBand="1"/>
      </w:tblPr>
      <w:tblGrid>
        <w:gridCol w:w="2611"/>
        <w:gridCol w:w="6677"/>
      </w:tblGrid>
      <w:tr w:rsidR="00C83A23" w:rsidRPr="00C83A23" w:rsidTr="00C83A23">
        <w:trPr>
          <w:trHeight w:val="937"/>
        </w:trPr>
        <w:tc>
          <w:tcPr>
            <w:tcW w:w="2538" w:type="dxa"/>
            <w:tcMar>
              <w:top w:w="0" w:type="dxa"/>
              <w:left w:w="108" w:type="dxa"/>
              <w:bottom w:w="0" w:type="dxa"/>
              <w:right w:w="108" w:type="dxa"/>
            </w:tcMar>
            <w:hideMark/>
          </w:tcPr>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b/>
                <w:bCs/>
                <w:sz w:val="28"/>
                <w:szCs w:val="28"/>
                <w:shd w:val="clear" w:color="auto" w:fill="FFFFFF"/>
                <w:lang w:val="vi-VN"/>
              </w:rPr>
              <w:t>CHÍNH PHỦ</w:t>
            </w: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sz w:val="28"/>
                <w:szCs w:val="28"/>
                <w:shd w:val="clear" w:color="auto" w:fill="FFFFFF"/>
                <w:lang w:val="vi-VN"/>
              </w:rPr>
              <w:t>----------</w:t>
            </w: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sz w:val="28"/>
                <w:szCs w:val="28"/>
                <w:shd w:val="clear" w:color="auto" w:fill="FFFFFF"/>
                <w:lang w:val="vi-VN"/>
              </w:rPr>
              <w:t>Số: 26/2020/NĐ-CP</w:t>
            </w: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b/>
                <w:bCs/>
                <w:sz w:val="28"/>
                <w:szCs w:val="28"/>
                <w:shd w:val="clear" w:color="auto" w:fill="FFFFFF"/>
                <w:lang w:val="vi-VN"/>
              </w:rPr>
              <w:t> </w:t>
            </w:r>
          </w:p>
        </w:tc>
        <w:tc>
          <w:tcPr>
            <w:tcW w:w="6490" w:type="dxa"/>
            <w:tcMar>
              <w:top w:w="0" w:type="dxa"/>
              <w:left w:w="108" w:type="dxa"/>
              <w:bottom w:w="0" w:type="dxa"/>
              <w:right w:w="108" w:type="dxa"/>
            </w:tcMar>
            <w:hideMark/>
          </w:tcPr>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b/>
                <w:bCs/>
                <w:sz w:val="28"/>
                <w:szCs w:val="28"/>
                <w:shd w:val="clear" w:color="auto" w:fill="FFFFFF"/>
              </w:rPr>
              <w:t>CỘNG HÒA XÃ HỘI CHỦ NGHĨA VIỆT NAM</w:t>
            </w:r>
            <w:r w:rsidRPr="00C83A23">
              <w:rPr>
                <w:rFonts w:ascii="Times New Roman" w:eastAsia="Times New Roman" w:hAnsi="Times New Roman" w:cs="Times New Roman"/>
                <w:b/>
                <w:bCs/>
                <w:sz w:val="28"/>
                <w:szCs w:val="28"/>
                <w:shd w:val="clear" w:color="auto" w:fill="FFFFFF"/>
              </w:rPr>
              <w:br/>
              <w:t>Độc lập - Tự do - Hạnh phúc</w:t>
            </w: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sz w:val="28"/>
                <w:szCs w:val="28"/>
                <w:shd w:val="clear" w:color="auto" w:fill="FFFFFF"/>
              </w:rPr>
              <w:t>------------</w:t>
            </w:r>
          </w:p>
          <w:p w:rsidR="00C83A23" w:rsidRPr="00C83A23" w:rsidRDefault="00C83A23" w:rsidP="00C83A23">
            <w:pPr>
              <w:jc w:val="right"/>
              <w:rPr>
                <w:rFonts w:ascii="Times New Roman" w:eastAsia="Times New Roman" w:hAnsi="Times New Roman" w:cs="Times New Roman"/>
                <w:color w:val="222222"/>
                <w:sz w:val="28"/>
                <w:szCs w:val="28"/>
              </w:rPr>
            </w:pPr>
            <w:r w:rsidRPr="00C83A23">
              <w:rPr>
                <w:rFonts w:ascii="Times New Roman" w:eastAsia="Times New Roman" w:hAnsi="Times New Roman" w:cs="Times New Roman"/>
                <w:i/>
                <w:iCs/>
                <w:sz w:val="28"/>
                <w:szCs w:val="28"/>
                <w:shd w:val="clear" w:color="auto" w:fill="FFFFFF"/>
              </w:rPr>
              <w:t>Hà Nội, ngày 28 tháng 02 năm 2020</w:t>
            </w:r>
          </w:p>
        </w:tc>
      </w:tr>
    </w:tbl>
    <w:p w:rsidR="00C83A23" w:rsidRDefault="00C83A23" w:rsidP="00C83A23">
      <w:pPr>
        <w:jc w:val="center"/>
        <w:rPr>
          <w:rFonts w:ascii="Times New Roman" w:eastAsia="Times New Roman" w:hAnsi="Times New Roman" w:cs="Times New Roman"/>
          <w:b/>
          <w:bCs/>
          <w:sz w:val="28"/>
          <w:szCs w:val="28"/>
        </w:rPr>
      </w:pP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b/>
          <w:bCs/>
          <w:sz w:val="28"/>
          <w:szCs w:val="28"/>
          <w:lang w:val="vi-VN"/>
        </w:rPr>
        <w:t>NGHỊ ĐỊNH</w:t>
      </w:r>
    </w:p>
    <w:p w:rsidR="00C83A23" w:rsidRPr="00C83A23" w:rsidRDefault="00C83A23" w:rsidP="00C83A23">
      <w:pPr>
        <w:jc w:val="center"/>
        <w:rPr>
          <w:rFonts w:ascii="Times New Roman" w:eastAsia="Times New Roman" w:hAnsi="Times New Roman" w:cs="Times New Roman"/>
          <w:color w:val="222222"/>
          <w:sz w:val="28"/>
          <w:szCs w:val="28"/>
        </w:rPr>
      </w:pPr>
      <w:r w:rsidRPr="00C83A23">
        <w:rPr>
          <w:rFonts w:ascii="Times New Roman" w:eastAsia="Times New Roman" w:hAnsi="Times New Roman" w:cs="Times New Roman"/>
          <w:b/>
          <w:bCs/>
          <w:sz w:val="28"/>
          <w:szCs w:val="28"/>
          <w:lang w:val="vi-VN"/>
        </w:rPr>
        <w:t>Quy định chi tiết một số điều của Luật Bảo vệ bí mật nhà nước</w:t>
      </w:r>
    </w:p>
    <w:p w:rsidR="00C83A23" w:rsidRPr="00C83A23" w:rsidRDefault="00C83A23" w:rsidP="00C83A23">
      <w:pPr>
        <w:spacing w:before="100" w:beforeAutospacing="1"/>
        <w:jc w:val="center"/>
        <w:rPr>
          <w:rFonts w:ascii="Arial" w:eastAsia="Times New Roman" w:hAnsi="Arial" w:cs="Arial"/>
          <w:color w:val="222222"/>
          <w:sz w:val="26"/>
          <w:szCs w:val="26"/>
        </w:rPr>
      </w:pPr>
      <w:r w:rsidRPr="00C83A23">
        <w:rPr>
          <w:rFonts w:ascii="Arial" w:eastAsia="Times New Roman" w:hAnsi="Arial" w:cs="Arial"/>
          <w:sz w:val="20"/>
          <w:szCs w:val="20"/>
          <w:lang w:val="vi-VN"/>
        </w:rPr>
        <w:t>-----------</w:t>
      </w:r>
    </w:p>
    <w:p w:rsidR="00C83A23" w:rsidRPr="00C83A23" w:rsidRDefault="00C83A23" w:rsidP="00C83A23">
      <w:pPr>
        <w:spacing w:before="120"/>
        <w:ind w:firstLine="709"/>
        <w:jc w:val="both"/>
        <w:rPr>
          <w:rFonts w:ascii="Times New Roman" w:eastAsia="Times New Roman" w:hAnsi="Times New Roman" w:cs="Times New Roman"/>
          <w:color w:val="222222"/>
          <w:sz w:val="28"/>
          <w:szCs w:val="28"/>
        </w:rPr>
      </w:pPr>
      <w:r w:rsidRPr="00C83A23">
        <w:rPr>
          <w:rFonts w:ascii="Times New Roman" w:eastAsia="Times New Roman" w:hAnsi="Times New Roman" w:cs="Times New Roman"/>
          <w:i/>
          <w:iCs/>
          <w:sz w:val="28"/>
          <w:szCs w:val="28"/>
          <w:lang w:val="vi-VN"/>
        </w:rPr>
        <w:t>Căn cứ Luật Tổ chức Chính phủ ngày 19 tháng 6 năm 2015;</w:t>
      </w:r>
    </w:p>
    <w:p w:rsidR="00C83A23" w:rsidRPr="00C83A23" w:rsidRDefault="00C83A23" w:rsidP="00C83A23">
      <w:pPr>
        <w:spacing w:before="120"/>
        <w:ind w:firstLine="709"/>
        <w:jc w:val="both"/>
        <w:rPr>
          <w:rFonts w:ascii="Times New Roman" w:eastAsia="Times New Roman" w:hAnsi="Times New Roman" w:cs="Times New Roman"/>
          <w:color w:val="222222"/>
          <w:sz w:val="28"/>
          <w:szCs w:val="28"/>
        </w:rPr>
      </w:pPr>
      <w:r w:rsidRPr="00C83A23">
        <w:rPr>
          <w:rFonts w:ascii="Times New Roman" w:eastAsia="Times New Roman" w:hAnsi="Times New Roman" w:cs="Times New Roman"/>
          <w:i/>
          <w:iCs/>
          <w:sz w:val="28"/>
          <w:szCs w:val="28"/>
          <w:lang w:val="vi-VN"/>
        </w:rPr>
        <w:t>Căn cứ Luật Bảo vệ bí mật nhà nước ngày 15 tháng 11 năm 2018;</w:t>
      </w:r>
    </w:p>
    <w:p w:rsidR="00C83A23" w:rsidRPr="00C83A23" w:rsidRDefault="00C83A23" w:rsidP="00C83A23">
      <w:pPr>
        <w:spacing w:before="120"/>
        <w:ind w:firstLine="709"/>
        <w:jc w:val="both"/>
        <w:rPr>
          <w:rFonts w:ascii="Times New Roman" w:eastAsia="Times New Roman" w:hAnsi="Times New Roman" w:cs="Times New Roman"/>
          <w:color w:val="222222"/>
          <w:sz w:val="28"/>
          <w:szCs w:val="28"/>
        </w:rPr>
      </w:pPr>
      <w:r w:rsidRPr="00C83A23">
        <w:rPr>
          <w:rFonts w:ascii="Times New Roman" w:eastAsia="Times New Roman" w:hAnsi="Times New Roman" w:cs="Times New Roman"/>
          <w:i/>
          <w:iCs/>
          <w:sz w:val="28"/>
          <w:szCs w:val="28"/>
          <w:lang w:val="vi-VN"/>
        </w:rPr>
        <w:t>Theo đề nghị của Bộ trưởng Bộ Công an;</w:t>
      </w:r>
    </w:p>
    <w:p w:rsidR="00C83A23" w:rsidRPr="00C83A23" w:rsidRDefault="00C83A23" w:rsidP="00C83A23">
      <w:pPr>
        <w:spacing w:before="120"/>
        <w:ind w:firstLine="709"/>
        <w:jc w:val="both"/>
        <w:rPr>
          <w:rFonts w:ascii="Times New Roman" w:eastAsia="Times New Roman" w:hAnsi="Times New Roman" w:cs="Times New Roman"/>
          <w:color w:val="222222"/>
          <w:sz w:val="28"/>
          <w:szCs w:val="28"/>
        </w:rPr>
      </w:pPr>
      <w:r w:rsidRPr="00C83A23">
        <w:rPr>
          <w:rFonts w:ascii="Times New Roman" w:eastAsia="Times New Roman" w:hAnsi="Times New Roman" w:cs="Times New Roman"/>
          <w:i/>
          <w:iCs/>
          <w:sz w:val="28"/>
          <w:szCs w:val="28"/>
          <w:lang w:val="vi-VN"/>
        </w:rPr>
        <w:t>Chính phủ ban hành Nghị định quy định chi tiết một số điều của Luật Bảo vệ bí mật nhà nước.</w:t>
      </w:r>
    </w:p>
    <w:p w:rsidR="00C83A23" w:rsidRDefault="00C83A23" w:rsidP="00C83A23">
      <w:pPr>
        <w:spacing w:before="120"/>
        <w:ind w:firstLine="709"/>
        <w:jc w:val="both"/>
        <w:rPr>
          <w:rFonts w:ascii="Times New Roman" w:eastAsia="Times New Roman" w:hAnsi="Times New Roman" w:cs="Times New Roman"/>
          <w:b/>
          <w:bCs/>
          <w:color w:val="2E2E2E"/>
          <w:sz w:val="28"/>
          <w:szCs w:val="28"/>
        </w:rPr>
      </w:pPr>
      <w:r w:rsidRPr="00C83A23">
        <w:rPr>
          <w:rFonts w:ascii="Times New Roman" w:eastAsia="Times New Roman" w:hAnsi="Times New Roman" w:cs="Times New Roman"/>
          <w:b/>
          <w:bCs/>
          <w:color w:val="2E2E2E"/>
          <w:sz w:val="28"/>
          <w:szCs w:val="28"/>
        </w:rPr>
        <w:t>Điều 1. Phạm vi điều chỉnh</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bookmarkStart w:id="0" w:name="_GoBack"/>
      <w:bookmarkEnd w:id="0"/>
      <w:r w:rsidRPr="00C83A23">
        <w:rPr>
          <w:rFonts w:ascii="Times New Roman" w:eastAsia="Times New Roman" w:hAnsi="Times New Roman" w:cs="Times New Roman"/>
          <w:color w:val="2E2E2E"/>
          <w:sz w:val="28"/>
          <w:szCs w:val="28"/>
        </w:rPr>
        <w:t>Nghị định này quy định chi tiết một số điều của Luật Bảo vệ bí mật nhà nước về xác định bí mật nhà nước và độ mật của bí mật nhà nước; sao, chụp tài liệu, vật chứa bí mật nhà nước; giao, nhận tài liệu, vật chứa bí mật nhà nước; mang tài liệu, vật chứa bí mật nhà nước ra khỏi nơi lưu giữ; địa điểm tổ chức, phương án bảo vệ và sử dụng phương tiện, thiết bị tại hội nghị, hội thảo, cuộc họp có nội dung bí mật nhà nước; chế độ báo cáo về công tác bảo vệ bí mật nhà nước và phân công người thực hiện nhiệm vụ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2. Xác định bí mật nhà nước và độ mật của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Người soạn thảo, tạo ra thông tin thuộc danh mục bí mật nhà nước phải đề xuất người đứng đầu cơ quan, tổ chức xác định bí mật nhà nước, độ mật của bí mật nhà nước, nơi nhận, số lượng bản phát hành, được phép hoặc không được phép sao, chụp tài liệu, vật chứa bí mật nhà nước tại Tờ trình, Phiếu trình duyệt ký văn bản hoặc văn bản xác định độ mật của vật, địa điểm, lời nói, hoạt động chứa bí mật nhà nước và có trách nhiệm bảo vệ nội dung bí mật nhà nước trong quá trình soạn thảo, tạo ra. Tài liệu bí mật nhà nước phải thể hiện nơi nhận, số lượng bản phát hành, tên người soạn thảo, được phép hoặc không được phép sao, chụp ở mục nơi nhận của tài liệu. Trường hợp văn bản điện tử, người soạn thảo phải tạo dấu chỉ độ mật trên văn bản sau khi được người có thẩm quyền xác định bí mật nhà nước và độ mật của bí mật nhà nước; văn bản điện tử khi in ra để phát hành phải đóng dấu độ mật theo quy định.</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Người tiếp nhận thông tin thuộc danh mục bí mật nhà nước, nhưng chưa được xác định là bí mật nhà nước phải báo cáo người đứng đầu cơ quan, tổ chức và chuyển đến đơn vị có chức năng xử lý. Người được giao xử lý phải có văn bản đề xuất người đứng đầu cơ quan, tổ chức xác định bí mật nhà nước, độ mật của bí mật nhà nước, nơi nhận, số lượng bản phát hành, được phép hoặc không được phép sao, chụp tài liệu, vật chứa bí mật nhà nước. Thông tin tiếp nhận phải được bảo vệ trong quá trình tiếp nhận và xử lý.</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lastRenderedPageBreak/>
        <w:t>3. Bộ Công an quy định mẫu dấu chỉ độ mật, mẫu văn bản xác định độ mật của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3. Sao, chụp tài liệu, vật chứa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Sao tài liệu bí mật nhà nước là việc chép lại hoặc tạo ra bản khác theo đúng nội dung bản gốc hoặc bản chính của tài liệu. Chụp tài liệu, vật chứa bí mật nhà nước là việc ghi lại bằng hình ảnh tài liệu, vật chứa bí mật nhà nước.</w:t>
      </w:r>
      <w:r w:rsidRPr="00C83A23">
        <w:rPr>
          <w:rFonts w:ascii="Times New Roman" w:eastAsia="Times New Roman" w:hAnsi="Times New Roman" w:cs="Times New Roman"/>
          <w:color w:val="2E2E2E"/>
          <w:sz w:val="28"/>
          <w:szCs w:val="28"/>
        </w:rPr>
        <w:br/>
        <w:t>Hình thức sao tài liệu bí mật nhà nước gồm sao y bản chính, sao lục và trích sao.</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Việc sao, chụp tài liệu, vật chứa bí mật nhà nước phải tiến hành tại địa điểm bảo đảm an toàn do người đứng đầu của cơ quan, tổ chức trực tiếp quản lý bí mật nhà nước quy định. Việc sao, chụp phải được ghi vào “Sổ quản lý sao, chụp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Bản sao tài liệu bí mật nhà nước phải đóng dấu sao; bản chụp tài liệu, vật chứa bí mật nhà nước phải có văn bản ghi nhận việc chụp. Chỉ sao, chụp đúng số bản cho phép và tiêu hủy ngay bản dư thừa, bản hỏng. Bản sao, chụp được thực hiện theo đúng quy định tại Nghị định này có giá trị pháp lý như bản chính và phải được bảo vệ như bản gốc.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4. Phương tiện, thiết bị sử dụng để sao, chụp tài liệu, vật chứa bí mật nhà nước không được kết nối với mạng Internet, mạng máy tính, mạng viễn thông, trừ trường hợp thực hiện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5. Việc sao, chụp điện mật được thực hiện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6. Bộ trưởng Bộ Công an quy định mẫu dấu sao, chụp bí mật nhà nước; mẫu văn bản ghi nhận việc chụp bí mật nhà nước; mẫu sổ quản lý sao, chụp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4. Giao, nhận tài liệu, vật chứa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Việc giao tài liệu, vật chứa bí mật nhà nước được thực hiện như sau: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Trước khi giao tài liệu, vật chứa bí mật nhà nước phải đăng ký vào “Sổ đăng ký bí mật nhà nước đi”. Tài liệu, vật chứa bí mật nhà nước độ “Tuyệt mật” chỉ ghi trích yếu khi người có thẩm quyền xác định bí mật nhà nước đồng ý;</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Tài liệu, vật chứa bí mật nhà nước phải làm bì hoặc đóng gói riêng. Giấy làm bì phải dùng loại giấy dai, bền, khó thấm nước, không nhìn thấu qua được; hồ dán phải dính, khó bóc;</w:t>
      </w:r>
      <w:r w:rsidRPr="00C83A23">
        <w:rPr>
          <w:rFonts w:ascii="Times New Roman" w:eastAsia="Times New Roman" w:hAnsi="Times New Roman" w:cs="Times New Roman"/>
          <w:color w:val="2E2E2E"/>
          <w:sz w:val="28"/>
          <w:szCs w:val="28"/>
        </w:rPr>
        <w:br/>
        <w:t>Trường hợp tài liệu, vật chứa bí mật nhà nước thuộc độ “Tuyệt mật” phải được bảo vệ bằng hai lớp phong bì: Bì trong ghi số, ký hiệu của tài liệu, vật chứa bí mật nhà nước, tên người nhận, đóng dấu “Tuyệt mật” và được niêm phong bằng dấu của cơ quan, tổ chức ở ngoài bì; trường hợp gửi đích danh người có trách nhiệm giải quyết thì đóng dấu “Chỉ người có tên mới được bóc bì”. Bì ngoài ghi như gửi tài liệu thường và đóng dấu ký hiệu chữ “A”;</w:t>
      </w:r>
      <w:r w:rsidRPr="00C83A23">
        <w:rPr>
          <w:rFonts w:ascii="Times New Roman" w:eastAsia="Times New Roman" w:hAnsi="Times New Roman" w:cs="Times New Roman"/>
          <w:color w:val="2E2E2E"/>
          <w:sz w:val="28"/>
          <w:szCs w:val="28"/>
        </w:rPr>
        <w:br/>
        <w:t>Tài liệu, vật chứa bí mật nhà nước độ “Tối mật” và “Mật” được bảo vệ bằng một lớp bì, ngoài bì đóng dấu chữ “B” và chữ “C” tương ứng với độ mật của tài liệu, vật chứa bí mật nhà nước bên trong;</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lastRenderedPageBreak/>
        <w:t>c) Việc giao tài liệu, vật chứa bí mật nhà nước phải được quản lý bằng “Sổ chuyển giao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Việc nhận tài liệu, vật chứa bí mật nhà nước được thực hiện như sau: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Sau khi nhận, tài liệu, vật chứa bí mật nhà nước phải đăng ký vào “Sổ đăng ký bí mật nhà nước đến”;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Trường hợp tài liệu, vật chứa bí mật nhà nước mà phong bì có dấu “Chỉ người có tên mới được bóc bì”, người nhận vào sổ theo ký hiệu ngoài bì, không được mở bì và phải chuyển ngay đến người có tên trên phong bì. Nếu người có tên trên phong bì đi vắng và trên phong bì có thêm dấu “Hỏa tốc” thì chuyển đến lãnh đạo cơ quan, tổ chức hoặc người được lãnh đạo cơ quan, tổ chức ủy quyền giải quyết;</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c) Trường hợp tài liệu, vật chứa bí mật nhà nước được gửi đến mà không thực hiện đúng quy định bảo vệ bí mật nhà nước thì chuyển đến lãnh đạo cơ quan, tổ chức nhận tài liệu, vật chứa bí mật nhà nước hoặc người có tên trên phong bì (đối với trường hợp gửi đích danh) giải quyết, đồng thời phải thông báo nơi gửi biết để có biện pháp khắc phục. Nếu phát hiện tài liệu, vật chứa bí mật nhà nước gửi đến có dấu hiệu bóc, mở bì hoặc bị tráo đổi, mất, hư hỏng thì người nhận phải báo cáo ngay người đứng đầu cơ quan, tổ chức để có biện pháp xử lý.</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Nơi gửi và nơi nhận tài liệu, vật chứa bí mật nhà nước phải đối chiếu về số lượng, kiểm tra việc đóng bì, đóng gói tài liệu, vật chứa bí mật nhà nước. Trường hợp phát hiện thiếu số lượng, sai sót trong đóng bì, đóng gói thì nơi nhận yêu cầu nơi gửi bổ sung, xử lý trước khi vào sổ theo dõi và ký nhận.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4. Trường hợp tài liệu, vật chứa bí mật nhà nước có đóng dấu “Tài liệu thu hồi”, cơ quan, tổ chức hoặc cá nhân đã nhận tài liệu, vật chứa bí mật nhà nước phải gửi lại đúng thời hạn ghi trên văn bản.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5. Việc chuyển, nhận văn bản điện tử có nội dung bí mật nhà nước trên mạng Internet, mạng máy tính và mạng viễn thông được thực hiện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6. Việc vận chuyển, giao nhận sản phẩm mật mã thực hiện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7. Trường hợp tài liệu, vật chứa bí mật nhà nước đăng ký bằng cơ sở dữ liệu quản lý trên máy tính thì khi chuyển giao phải in ra giấy để ký nhận và đóng sổ để quản lý. Máy tính dùng để đăng ký tài liệu, vật chứa bí mật nhà nước không được nối mạng Internet, mạng máy tính và mạng viễn thông, trừ trường hợp thực hiện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8. Bộ trưởng Bộ Công an quy định mẫu sổ đăng ký bí mật nhà nước đến, mẫu sổ đãng ký bí mật nhà nước đi và mẫu sổ chuyển giao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5. Mang tài liệu, vật chứa bí mật nhà nước ra khỏi nơi lưu giữ</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lastRenderedPageBreak/>
        <w:t>1. Người mang tài liệu, vật chứa bí mật nhà nước ra khỏi nơi lưu giữ phục vụ công tác trong nước, nước ngoài phải có văn bản xin phép người có thẩm quyền theo quy định tại khoản 1, khoản 2 Điều 14 của Luật Bảo vệ bí mật nhà nước. Khi kết thúc nhiệm vụ phải báo cáo người có thẩm quyền cho phép mang tài liệu, vật chứa bí mật nhà nước ra khỏi nơi lưu giữ về việc quản lý, sử dụng bí mật nhà nước và nộp lại cơ quan, tổ chức.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Văn bản xin phép mang tài liệu, vật chứa bí mật nhà nước ra khỏi nơi lưu giữ phục vụ công tác trong nước, nước ngoài phải nêu rõ họ, tên, chức vụ, đơn vị công tác; tên loại, trích yếu nội dung, độ mật của tài liệu, vật chứa bí mật nhà nước; mục đích sử dụng; thời gian, địa điểm công tác; biện pháp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Tài liệu, vật chứa bí mật nhà nước mang ra khỏi nơi lưu giữ phải chứa, đựng, vận chuyển bằng phương tiện, thiết bị bảo đảm an toàn do người đứng đầu cơ quan, tổ chức trực tiếp quản lý bí mật nhà nước quy định và phải bảo vệ trong thời gian mang ra khỏi nơi lưu giữ.</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6. Địa điểm, phương án bảo vệ và phương tiện, thiết bị sử dụng tại hội nghị, hội thảo, cuộc họp có nội dung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Hội nghị, hội thảo, cuộc họp có nội dung bí mật nhà nước được tổ chức trong phòng họp kín tại trụ sở làm việc của cơ quan, tổ chức. Trường hợp tổ chức ở ngoài trụ sở làm việc, người đứng đầu cơ quan, tổ chức quyết định tổ chức hội nghị, hội thảo, cuộc họp có trách nhiệm đề nghị cơ quan Bộ Công an, Công an cấp tỉnh kiểm tra an ninh, an toàn trong và ngoài khu vực diễn ra hội nghị, hội thảo, cuộc họp; hội nghị, hội thảo, cuộc họp do Bộ Quốc phòng, Ban Cơ yếu Chính phủ chủ trì tổ chức do cơ quan chức năng của Bộ Quốc phòng, Ban Cơ yếu Chính phủ thực hiện.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Phương tiện, thiết bị sử dụng trong hội nghị, hội thảo, cuộc họp có nội dung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Hội nghị, hội thảo, cuộc họp có nội dung bí mật nhà nước phải sử dụng micro có dây và các phương tiện, thiết bị được cơ quan Bộ Công an, Công an cấp tỉnh kiểm tra an ninh, an toàn trước khi lắp đặt, trừ phương tiện, thiết bị do Ban Cơ yếu Chính phủ trang bị; hội nghị, hội thảo, cuộc họp do Bộ Quốc phòng, Ban Cơ yếu Chính phủ chủ trì tổ chức do cơ quan chức năng của Bộ Quốc phòng, Ban Cơ yếu Chính phủ thực hiện. Trường hợp hội nghị, hội thảo, cuộc họp có nội dung bí mật nhà nước tổ chức bằng hình thức truyền hình trực tuyến phải bảo vệ đường truyền theo quy định pháp luật về cơ yếu;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Người tham dự không được mang thiết bị có tính năng thu, phát tin, ghi âm, ghi hình vào trong hội nghị, hội thảo, cuộc họp có nội dung bí mật nhà nước độ Tuyệt mật, Tối mật. Đối với hội nghị, hội thảo, cuộc họp có nội dung bí mật nhà nước độ Mật, việc sử dụng phương tiện, thiết bị được thực hiện theo yêu cầu của người chủ trì;</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 xml:space="preserve">c) Trong trường hợp cần thiết, cơ quan, tổ chức chủ trì hội nghị, hội thảo, cuộc họp có nội dung bí mật nhà nước quyết định việc sử dụng phương tiện, </w:t>
      </w:r>
      <w:r w:rsidRPr="00C83A23">
        <w:rPr>
          <w:rFonts w:ascii="Times New Roman" w:eastAsia="Times New Roman" w:hAnsi="Times New Roman" w:cs="Times New Roman"/>
          <w:color w:val="2E2E2E"/>
          <w:sz w:val="28"/>
          <w:szCs w:val="28"/>
        </w:rPr>
        <w:lastRenderedPageBreak/>
        <w:t>thiết bị kỹ thuật để ghi âm, ghi hình; ngăn chặn hoạt động xâm nhập, thu tin từ bên ngoài.</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Phương án bảo vệ hội nghị, hội thảo, cuộc họp có nội dung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Hội nghị, hội thảo, cuộc họp có nội dung bí mật nhà nước độ Tuyệt mật, cơ quan, tổ chức chủ trì quyết định việc bố trí lực lượng canh gác, bảo vệ bên ngoài; dự kiến các tình huống phức tạp có thể xảy ra ảnh hưởng đến an ninh, an toàn trong quá trình tổ chức hội nghị, hội thảo, cuộc họp và phương án giải quyết, xử lý;</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Hội nghị, hội thảo, cuộc họp có nội dung bí mật nhà nước tổ chức từ hai ngày trở lên phải niêm phong phòng họp sau mỗi ngày tổ chức hội nghị, hội thảo, cuộc họp;</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c) Người tham dự hội nghị, hội thảo, cuộc họp có nội dung bí mật nhà nước phải đúng thành phần theo yêu cầu của cơ quan, tổ chức chủ trì. Trường hợp hội nghị, hội thảo, cuộc họp có nội dung bí mật nhà nước độ Tuyệt mật phải có biện pháp kiểm tra an ninh, an toàn đối với người tham dự.</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7. Phân công người thực hiện nhiệm vụ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Văn phòng Trung ương và ban đảng; cơ quan trung ương của tổ chức chính trị - xã hội; Văn phòng Quốc hội; Văn phòng Chủ tịch nước; bộ, cơ quan ngang bộ, cơ quan thuộc Chính phủ; Tòa án nhân dân tối cao, Viện kiểm sát nhân dân tối cao; Kiểm toán Nhà nước; Ủy ban nhân dân tỉnh, thành phố trực thuộc trung ương có trách nhiệm phân công người thực hiện nhiệm vụ chuyên trách bảo vệ bí mật nhà nước tại văn phòng hoặc đơn vị hành chính, tổng hợp.</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Các đơn vị thuộc, trực thuộc cơ quan, tổ chức quy định tại khoản 1 Điều này; Tỉnh ủy, Thành ủy, Thị ủy, Hội đồng nhân dân cấp tỉnh; Huyện ủy, Hội đồng nhân dân, Ủy ban nhân dân cấp huyện có trách nhiệm phân công người thực hiện nhiệm vụ kiêm nhiệm bảo vệ bí mật nhà nước tại văn phòng hoặc đơn vị hành chính, tổng hợp.</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Việc bố trí người thực hiện nhiệm vụ chuyên trách, kiêm nhiệm bảo vệ bí mật nhà nước của lực lượng vũ trang, cơ yếu được thực hiện theo quy định của Bộ trưởng Bộ Quốc phòng và Bộ trưởng Bộ Công an.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4. Người thực hiện nhiệm vụ chuyên trách và kiêm nhiệm bảo vệ bí mật nhà nước phải đáp ứng tiêu chuẩn sau đây:</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Có phẩm chất đạo đức tốt, có đủ tiêu chuẩn chính trị, có kiến thức pháp luật và chuyên môn, nghiệp vụ về bảo vệ bí mật nhà nước, nghiêm chỉnh chấp hành đường lối, chủ trương, chính sách của Đảng, pháp luật của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Có trách nhiệm giữ gìn bí mật nhà nước; phục tùng sự phân công, điều động của cơ quan, tổ chức và thực hiện đầy đủ chức trách, nhiệm vụ được giao.</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5. Người thực hiện nhiệm vụ chuyên trách, kiêm nhiệm bảo vệ bí mật nhà nước được hưởng chế độ, chính sách theo quy định của pháp luật.</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lastRenderedPageBreak/>
        <w:t>Điều 8. Chế độ báo cáo về công tác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Người đứng đầu cơ quan, tổ chức quy định tại khoản 1 Điều 7 của Nghị định này phải thực hiện chế độ báo cáo về công tác bảo vệ bí mật nhà nước trong phạm vi quản lý gửi Bộ Công an để tổng hợp báo cáo Thủ tướng Chính phủ theo thời hạn như sau:</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Báo cáo tổng kết năm năm một lần; báo cáo sơ kết một năm một lần;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Báo cáo đột xuất được thực hiện ngay sau khi phát hiện vụ lộ, mất bí mật nhà nước hoặc theo đề nghị của Bộ Công an;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c) Thời hạn chốt số liệu trong chế độ báo cáo hằng năm: Tính từ ngày 15 tháng 12 năm trước kỳ báo cáo đến ngày 14 tháng 12 của kỳ báo cáo;</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d) Thời hạn gửi báo cáo hằng năm: Thời hạn cơ quan, tổ chức quy định tại khoản 1 Điều 7 của Nghị định này gửi báo cáo định kỳ hằng năm cho Bộ Công an chậm nhất vào ngày 20 tháng 12 của năm báo cáo.</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Nội dung báo cáo về công tác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a) Phân tích, đánh giá tình hình liên quan đến công tác bảo vệ bí mật nhà nước;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b) Kết quả thực hiện công tác bảo vệ bí mật nhà nước; ưu điểm, hạn chế, khó khăn, vướng mắc, nguyên nhân và bài học kinh nghiệm trong chỉ đạo, thực hiện;</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c) Tình hình, số liệu các vụ lộ, mất bí mật nhà nước; nguyên nhân và việc xử lý, khắc phục hậu quả;</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d) Dự báo tình hình; dự kiến công tác trọng tâm bảo vệ bí mật nhà nước và đề xuất, kiến nghị.</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Bộ Công an có trách nhiệm giúp Chính phủ tổng kết năm năm một lần, sơ kết một năm một lần về công tác bảo vệ bí mật nhà nước trong phạm vi toàn quốc.</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b/>
          <w:bCs/>
          <w:color w:val="2E2E2E"/>
          <w:sz w:val="28"/>
          <w:szCs w:val="28"/>
        </w:rPr>
        <w:t>Điều 9. Hiệu lực thi hành</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1. Nghị định này có hiệu lực thi hành từ ngày 01 tháng 7 năm 2020.</w:t>
      </w:r>
    </w:p>
    <w:p w:rsidR="00C83A23" w:rsidRP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2. Nghị định số 33/2002/NĐ-CP ngày 28 tháng 3 năm 2002 của Chính phủ quy định chi tiết thi hành Pháp lệnh Bảo vệ bí mật nhà nước hết hiệu lực kể từ ngày Nghị định này có hiệu lực pháp luật.</w:t>
      </w:r>
    </w:p>
    <w:p w:rsidR="00C83A23" w:rsidRDefault="00C83A23" w:rsidP="00C83A23">
      <w:pPr>
        <w:spacing w:before="120"/>
        <w:ind w:firstLine="709"/>
        <w:jc w:val="both"/>
        <w:rPr>
          <w:rFonts w:ascii="Times New Roman" w:eastAsia="Times New Roman" w:hAnsi="Times New Roman" w:cs="Times New Roman"/>
          <w:color w:val="2E2E2E"/>
          <w:sz w:val="28"/>
          <w:szCs w:val="28"/>
        </w:rPr>
      </w:pPr>
      <w:r w:rsidRPr="00C83A23">
        <w:rPr>
          <w:rFonts w:ascii="Times New Roman" w:eastAsia="Times New Roman" w:hAnsi="Times New Roman" w:cs="Times New Roman"/>
          <w:color w:val="2E2E2E"/>
          <w:sz w:val="28"/>
          <w:szCs w:val="28"/>
        </w:rPr>
        <w:t>3. Các Bộ trưởng, Thủ trưởng cơ quan ngang bộ, Thủ trưởng cơ quan thuộc Chính phủ, Chủ tịch Ủy ban nhân dân tỉnh, thành phố trực thuộc trung ương, các cơ quan, tổ chức và cá nhân có liên quan chịu trách nhiệm thi hành Nghị định này./.</w:t>
      </w:r>
    </w:p>
    <w:p w:rsidR="00C83A23" w:rsidRPr="00C83A23" w:rsidRDefault="00C83A23" w:rsidP="00C83A23">
      <w:pPr>
        <w:spacing w:before="120"/>
        <w:ind w:firstLine="709"/>
        <w:jc w:val="both"/>
        <w:rPr>
          <w:rFonts w:ascii="Arial" w:eastAsia="Times New Roman" w:hAnsi="Arial" w:cs="Arial"/>
          <w:color w:val="2E2E2E"/>
          <w:sz w:val="26"/>
          <w:szCs w:val="26"/>
        </w:rPr>
      </w:pPr>
    </w:p>
    <w:tbl>
      <w:tblPr>
        <w:tblW w:w="5000" w:type="pct"/>
        <w:tblCellMar>
          <w:left w:w="0" w:type="dxa"/>
          <w:right w:w="0" w:type="dxa"/>
        </w:tblCellMar>
        <w:tblLook w:val="04A0" w:firstRow="1" w:lastRow="0" w:firstColumn="1" w:lastColumn="0" w:noHBand="0" w:noVBand="1"/>
      </w:tblPr>
      <w:tblGrid>
        <w:gridCol w:w="3936"/>
        <w:gridCol w:w="5244"/>
      </w:tblGrid>
      <w:tr w:rsidR="00C83A23" w:rsidRPr="00C83A23" w:rsidTr="00C83A23">
        <w:tc>
          <w:tcPr>
            <w:tcW w:w="3936" w:type="dxa"/>
            <w:tcMar>
              <w:top w:w="0" w:type="dxa"/>
              <w:left w:w="108" w:type="dxa"/>
              <w:bottom w:w="0" w:type="dxa"/>
              <w:right w:w="108" w:type="dxa"/>
            </w:tcMar>
            <w:hideMark/>
          </w:tcPr>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b/>
                <w:bCs/>
                <w:i/>
                <w:iCs/>
              </w:rPr>
              <w:t>Nơi nhận:</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Ban Bí thư Trưng ương Đảng;</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Thủ tướng, các Phó Thủ tướng Chính phủ;</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lastRenderedPageBreak/>
              <w:t>- Các bộ, cơ quan ngang bộ, cơ quan thuộc Chính phủ;</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HĐND, UBND các tỉnh, thành phố trực thuộc trung ương;</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Văn phòng Trung ương và các Ban của Đảng;</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Văn phòng Tổng Bí thư;</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Văn phòng Chủ tịch nước;</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Hội đồng Dân tộc và các Ủy ban của Quốc hội;</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Văn phòng Quốc hội;</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Tòa án nhân dân tối cao;</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Viện kiểm sát nhân dân tối cao;</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Kiểm toán Nhà nước;</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Ủy ban Giám sát tài chính Quốc gia;</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Ngân hàng Chính sách xã hội;</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Ngân hàng Phát triển Việt Nam;</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Ủy ban Trung ương Mặt trận Tổ quốc Việt Nam;</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Cơ quan trung ương của các đoàn thể;</w:t>
            </w:r>
          </w:p>
          <w:p w:rsidR="00C83A23" w:rsidRPr="00C83A23" w:rsidRDefault="00C83A23" w:rsidP="00C83A23">
            <w:pPr>
              <w:rPr>
                <w:rFonts w:ascii="Times New Roman" w:eastAsia="Times New Roman" w:hAnsi="Times New Roman" w:cs="Times New Roman"/>
                <w:color w:val="222222"/>
              </w:rPr>
            </w:pPr>
            <w:r w:rsidRPr="00C83A23">
              <w:rPr>
                <w:rFonts w:ascii="Times New Roman" w:eastAsia="Times New Roman" w:hAnsi="Times New Roman" w:cs="Times New Roman"/>
              </w:rPr>
              <w:t>- VPCP: BTCN, các PCN, Trợ lý TTg, TGĐ Cổng TTĐT, các Vụ, Cục, đơn vị trực thuộc, Công báo;</w:t>
            </w:r>
          </w:p>
          <w:p w:rsidR="00C83A23" w:rsidRPr="00C83A23" w:rsidRDefault="00C83A23" w:rsidP="00C83A23">
            <w:pPr>
              <w:rPr>
                <w:rFonts w:ascii="Arial" w:eastAsia="Times New Roman" w:hAnsi="Arial" w:cs="Arial"/>
                <w:color w:val="222222"/>
                <w:sz w:val="24"/>
                <w:szCs w:val="24"/>
              </w:rPr>
            </w:pPr>
            <w:r w:rsidRPr="00C83A23">
              <w:rPr>
                <w:rFonts w:ascii="Times New Roman" w:eastAsia="Times New Roman" w:hAnsi="Times New Roman" w:cs="Times New Roman"/>
              </w:rPr>
              <w:t>- Lưu: VT, NC(2).</w:t>
            </w:r>
          </w:p>
        </w:tc>
        <w:tc>
          <w:tcPr>
            <w:tcW w:w="5244" w:type="dxa"/>
          </w:tcPr>
          <w:p w:rsidR="00C83A23" w:rsidRPr="00C83A23" w:rsidRDefault="00C83A23" w:rsidP="00C83A23">
            <w:pPr>
              <w:pStyle w:val="NormalWeb"/>
              <w:spacing w:before="0" w:beforeAutospacing="0" w:after="0" w:afterAutospacing="0"/>
              <w:jc w:val="center"/>
              <w:rPr>
                <w:color w:val="222222"/>
                <w:sz w:val="28"/>
                <w:szCs w:val="28"/>
              </w:rPr>
            </w:pPr>
            <w:r w:rsidRPr="00C83A23">
              <w:rPr>
                <w:rStyle w:val="Strong"/>
                <w:sz w:val="28"/>
                <w:szCs w:val="28"/>
              </w:rPr>
              <w:lastRenderedPageBreak/>
              <w:t>TM. CHÍNH PHỦ</w:t>
            </w:r>
          </w:p>
          <w:p w:rsidR="00C83A23" w:rsidRPr="00C83A23" w:rsidRDefault="00C83A23" w:rsidP="00C83A23">
            <w:pPr>
              <w:pStyle w:val="NormalWeb"/>
              <w:spacing w:before="0" w:beforeAutospacing="0" w:after="0" w:afterAutospacing="0"/>
              <w:jc w:val="center"/>
              <w:rPr>
                <w:color w:val="222222"/>
                <w:sz w:val="28"/>
                <w:szCs w:val="28"/>
              </w:rPr>
            </w:pPr>
            <w:r w:rsidRPr="00C83A23">
              <w:rPr>
                <w:rStyle w:val="Strong"/>
                <w:sz w:val="28"/>
                <w:szCs w:val="28"/>
              </w:rPr>
              <w:t>THỦ TƯỚNG</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t> </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lastRenderedPageBreak/>
              <w:t> </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t> </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t> </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t> </w:t>
            </w:r>
          </w:p>
          <w:p w:rsidR="00C83A23" w:rsidRPr="00C83A23" w:rsidRDefault="00C83A23" w:rsidP="00C83A23">
            <w:pPr>
              <w:pStyle w:val="NormalWeb"/>
              <w:spacing w:before="0" w:beforeAutospacing="0" w:after="0" w:afterAutospacing="0"/>
              <w:jc w:val="center"/>
              <w:rPr>
                <w:color w:val="222222"/>
                <w:sz w:val="28"/>
                <w:szCs w:val="28"/>
              </w:rPr>
            </w:pPr>
            <w:r w:rsidRPr="00C83A23">
              <w:rPr>
                <w:color w:val="222222"/>
                <w:sz w:val="28"/>
                <w:szCs w:val="28"/>
              </w:rPr>
              <w:t> </w:t>
            </w:r>
          </w:p>
          <w:p w:rsidR="00C83A23" w:rsidRPr="00C83A23" w:rsidRDefault="00C83A23" w:rsidP="00C83A23">
            <w:pPr>
              <w:pStyle w:val="NormalWeb"/>
              <w:spacing w:before="0" w:beforeAutospacing="0" w:after="0" w:afterAutospacing="0"/>
              <w:jc w:val="center"/>
              <w:rPr>
                <w:color w:val="222222"/>
                <w:sz w:val="28"/>
                <w:szCs w:val="28"/>
              </w:rPr>
            </w:pPr>
            <w:r w:rsidRPr="00C83A23">
              <w:rPr>
                <w:rStyle w:val="Strong"/>
                <w:sz w:val="28"/>
                <w:szCs w:val="28"/>
              </w:rPr>
              <w:t>Nguyễn Xuân Phúc</w:t>
            </w:r>
          </w:p>
          <w:p w:rsidR="00C83A23" w:rsidRPr="00C83A23" w:rsidRDefault="00C83A23" w:rsidP="00C83A23">
            <w:pPr>
              <w:rPr>
                <w:rFonts w:ascii="Times New Roman" w:eastAsia="Times New Roman" w:hAnsi="Times New Roman" w:cs="Times New Roman"/>
                <w:b/>
                <w:bCs/>
                <w:i/>
                <w:iCs/>
              </w:rPr>
            </w:pPr>
          </w:p>
        </w:tc>
      </w:tr>
    </w:tbl>
    <w:p w:rsidR="00BD7C78" w:rsidRDefault="00C83A23">
      <w:r>
        <w:lastRenderedPageBreak/>
        <w:t xml:space="preserve"> </w:t>
      </w:r>
    </w:p>
    <w:sectPr w:rsidR="00BD7C78" w:rsidSect="00B661A0">
      <w:pgSz w:w="11907" w:h="16840" w:code="9"/>
      <w:pgMar w:top="1134" w:right="1134" w:bottom="1134" w:left="1701" w:header="454"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A23"/>
    <w:rsid w:val="0027316C"/>
    <w:rsid w:val="006E3FC5"/>
    <w:rsid w:val="00B661A0"/>
    <w:rsid w:val="00BD7C78"/>
    <w:rsid w:val="00C83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83A23"/>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C83A23"/>
    <w:rPr>
      <w:rFonts w:ascii="Times New Roman" w:eastAsia="Times New Roman" w:hAnsi="Times New Roman" w:cs="Times New Roman"/>
      <w:sz w:val="24"/>
      <w:szCs w:val="24"/>
    </w:rPr>
  </w:style>
  <w:style w:type="paragraph" w:styleId="NormalWeb">
    <w:name w:val="Normal (Web)"/>
    <w:basedOn w:val="Normal"/>
    <w:uiPriority w:val="99"/>
    <w:unhideWhenUsed/>
    <w:rsid w:val="00C83A23"/>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C83A23"/>
    <w:rPr>
      <w:i/>
      <w:iCs/>
    </w:rPr>
  </w:style>
  <w:style w:type="character" w:styleId="Strong">
    <w:name w:val="Strong"/>
    <w:basedOn w:val="DefaultParagraphFont"/>
    <w:uiPriority w:val="22"/>
    <w:qFormat/>
    <w:rsid w:val="00C83A2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C83A23"/>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C83A23"/>
    <w:rPr>
      <w:rFonts w:ascii="Times New Roman" w:eastAsia="Times New Roman" w:hAnsi="Times New Roman" w:cs="Times New Roman"/>
      <w:sz w:val="24"/>
      <w:szCs w:val="24"/>
    </w:rPr>
  </w:style>
  <w:style w:type="paragraph" w:styleId="NormalWeb">
    <w:name w:val="Normal (Web)"/>
    <w:basedOn w:val="Normal"/>
    <w:uiPriority w:val="99"/>
    <w:unhideWhenUsed/>
    <w:rsid w:val="00C83A23"/>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C83A23"/>
    <w:rPr>
      <w:i/>
      <w:iCs/>
    </w:rPr>
  </w:style>
  <w:style w:type="character" w:styleId="Strong">
    <w:name w:val="Strong"/>
    <w:basedOn w:val="DefaultParagraphFont"/>
    <w:uiPriority w:val="22"/>
    <w:qFormat/>
    <w:rsid w:val="00C83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807326">
      <w:bodyDiv w:val="1"/>
      <w:marLeft w:val="0"/>
      <w:marRight w:val="0"/>
      <w:marTop w:val="0"/>
      <w:marBottom w:val="0"/>
      <w:divBdr>
        <w:top w:val="none" w:sz="0" w:space="0" w:color="auto"/>
        <w:left w:val="none" w:sz="0" w:space="0" w:color="auto"/>
        <w:bottom w:val="none" w:sz="0" w:space="0" w:color="auto"/>
        <w:right w:val="none" w:sz="0" w:space="0" w:color="auto"/>
      </w:divBdr>
    </w:div>
    <w:div w:id="1499923121">
      <w:bodyDiv w:val="1"/>
      <w:marLeft w:val="0"/>
      <w:marRight w:val="0"/>
      <w:marTop w:val="0"/>
      <w:marBottom w:val="0"/>
      <w:divBdr>
        <w:top w:val="none" w:sz="0" w:space="0" w:color="auto"/>
        <w:left w:val="none" w:sz="0" w:space="0" w:color="auto"/>
        <w:bottom w:val="none" w:sz="0" w:space="0" w:color="auto"/>
        <w:right w:val="none" w:sz="0" w:space="0" w:color="auto"/>
      </w:divBdr>
      <w:divsChild>
        <w:div w:id="1041975744">
          <w:marLeft w:val="0"/>
          <w:marRight w:val="0"/>
          <w:marTop w:val="0"/>
          <w:marBottom w:val="0"/>
          <w:divBdr>
            <w:top w:val="none" w:sz="0" w:space="0" w:color="auto"/>
            <w:left w:val="none" w:sz="0" w:space="0" w:color="auto"/>
            <w:bottom w:val="none" w:sz="0" w:space="0" w:color="auto"/>
            <w:right w:val="none" w:sz="0" w:space="0" w:color="auto"/>
          </w:divBdr>
        </w:div>
        <w:div w:id="1757897003">
          <w:marLeft w:val="0"/>
          <w:marRight w:val="0"/>
          <w:marTop w:val="0"/>
          <w:marBottom w:val="0"/>
          <w:divBdr>
            <w:top w:val="none" w:sz="0" w:space="0" w:color="auto"/>
            <w:left w:val="none" w:sz="0" w:space="0" w:color="auto"/>
            <w:bottom w:val="none" w:sz="0" w:space="0" w:color="auto"/>
            <w:right w:val="none" w:sz="0" w:space="0" w:color="auto"/>
          </w:divBdr>
        </w:div>
        <w:div w:id="1675302937">
          <w:marLeft w:val="0"/>
          <w:marRight w:val="0"/>
          <w:marTop w:val="0"/>
          <w:marBottom w:val="0"/>
          <w:divBdr>
            <w:top w:val="none" w:sz="0" w:space="0" w:color="auto"/>
            <w:left w:val="none" w:sz="0" w:space="0" w:color="auto"/>
            <w:bottom w:val="none" w:sz="0" w:space="0" w:color="auto"/>
            <w:right w:val="none" w:sz="0" w:space="0" w:color="auto"/>
          </w:divBdr>
        </w:div>
        <w:div w:id="242952071">
          <w:marLeft w:val="0"/>
          <w:marRight w:val="0"/>
          <w:marTop w:val="120"/>
          <w:marBottom w:val="0"/>
          <w:divBdr>
            <w:top w:val="none" w:sz="0" w:space="0" w:color="auto"/>
            <w:left w:val="none" w:sz="0" w:space="0" w:color="auto"/>
            <w:bottom w:val="none" w:sz="0" w:space="0" w:color="auto"/>
            <w:right w:val="none" w:sz="0" w:space="0" w:color="auto"/>
          </w:divBdr>
        </w:div>
        <w:div w:id="2048531707">
          <w:marLeft w:val="0"/>
          <w:marRight w:val="0"/>
          <w:marTop w:val="120"/>
          <w:marBottom w:val="0"/>
          <w:divBdr>
            <w:top w:val="none" w:sz="0" w:space="0" w:color="auto"/>
            <w:left w:val="none" w:sz="0" w:space="0" w:color="auto"/>
            <w:bottom w:val="none" w:sz="0" w:space="0" w:color="auto"/>
            <w:right w:val="none" w:sz="0" w:space="0" w:color="auto"/>
          </w:divBdr>
        </w:div>
        <w:div w:id="1226910744">
          <w:marLeft w:val="0"/>
          <w:marRight w:val="0"/>
          <w:marTop w:val="0"/>
          <w:marBottom w:val="0"/>
          <w:divBdr>
            <w:top w:val="none" w:sz="0" w:space="0" w:color="auto"/>
            <w:left w:val="none" w:sz="0" w:space="0" w:color="auto"/>
            <w:bottom w:val="none" w:sz="0" w:space="0" w:color="auto"/>
            <w:right w:val="none" w:sz="0" w:space="0" w:color="auto"/>
          </w:divBdr>
        </w:div>
        <w:div w:id="880048557">
          <w:marLeft w:val="0"/>
          <w:marRight w:val="0"/>
          <w:marTop w:val="0"/>
          <w:marBottom w:val="0"/>
          <w:divBdr>
            <w:top w:val="none" w:sz="0" w:space="0" w:color="auto"/>
            <w:left w:val="none" w:sz="0" w:space="0" w:color="auto"/>
            <w:bottom w:val="none" w:sz="0" w:space="0" w:color="auto"/>
            <w:right w:val="none" w:sz="0" w:space="0" w:color="auto"/>
          </w:divBdr>
        </w:div>
        <w:div w:id="458189367">
          <w:marLeft w:val="0"/>
          <w:marRight w:val="0"/>
          <w:marTop w:val="0"/>
          <w:marBottom w:val="0"/>
          <w:divBdr>
            <w:top w:val="none" w:sz="0" w:space="0" w:color="auto"/>
            <w:left w:val="none" w:sz="0" w:space="0" w:color="auto"/>
            <w:bottom w:val="none" w:sz="0" w:space="0" w:color="auto"/>
            <w:right w:val="none" w:sz="0" w:space="0" w:color="auto"/>
          </w:divBdr>
        </w:div>
        <w:div w:id="1767923074">
          <w:marLeft w:val="0"/>
          <w:marRight w:val="0"/>
          <w:marTop w:val="120"/>
          <w:marBottom w:val="0"/>
          <w:divBdr>
            <w:top w:val="none" w:sz="0" w:space="0" w:color="auto"/>
            <w:left w:val="none" w:sz="0" w:space="0" w:color="auto"/>
            <w:bottom w:val="none" w:sz="0" w:space="0" w:color="auto"/>
            <w:right w:val="none" w:sz="0" w:space="0" w:color="auto"/>
          </w:divBdr>
        </w:div>
        <w:div w:id="1435901622">
          <w:marLeft w:val="0"/>
          <w:marRight w:val="0"/>
          <w:marTop w:val="0"/>
          <w:marBottom w:val="0"/>
          <w:divBdr>
            <w:top w:val="none" w:sz="0" w:space="0" w:color="auto"/>
            <w:left w:val="none" w:sz="0" w:space="0" w:color="auto"/>
            <w:bottom w:val="none" w:sz="0" w:space="0" w:color="auto"/>
            <w:right w:val="none" w:sz="0" w:space="0" w:color="auto"/>
          </w:divBdr>
        </w:div>
        <w:div w:id="791824946">
          <w:marLeft w:val="0"/>
          <w:marRight w:val="0"/>
          <w:marTop w:val="0"/>
          <w:marBottom w:val="0"/>
          <w:divBdr>
            <w:top w:val="none" w:sz="0" w:space="0" w:color="auto"/>
            <w:left w:val="none" w:sz="0" w:space="0" w:color="auto"/>
            <w:bottom w:val="none" w:sz="0" w:space="0" w:color="auto"/>
            <w:right w:val="none" w:sz="0" w:space="0" w:color="auto"/>
          </w:divBdr>
        </w:div>
        <w:div w:id="1952779794">
          <w:marLeft w:val="0"/>
          <w:marRight w:val="0"/>
          <w:marTop w:val="0"/>
          <w:marBottom w:val="0"/>
          <w:divBdr>
            <w:top w:val="none" w:sz="0" w:space="0" w:color="auto"/>
            <w:left w:val="none" w:sz="0" w:space="0" w:color="auto"/>
            <w:bottom w:val="none" w:sz="0" w:space="0" w:color="auto"/>
            <w:right w:val="none" w:sz="0" w:space="0" w:color="auto"/>
          </w:divBdr>
        </w:div>
        <w:div w:id="1723165308">
          <w:marLeft w:val="0"/>
          <w:marRight w:val="0"/>
          <w:marTop w:val="0"/>
          <w:marBottom w:val="0"/>
          <w:divBdr>
            <w:top w:val="none" w:sz="0" w:space="0" w:color="auto"/>
            <w:left w:val="none" w:sz="0" w:space="0" w:color="auto"/>
            <w:bottom w:val="none" w:sz="0" w:space="0" w:color="auto"/>
            <w:right w:val="none" w:sz="0" w:space="0" w:color="auto"/>
          </w:divBdr>
        </w:div>
        <w:div w:id="1003508510">
          <w:marLeft w:val="0"/>
          <w:marRight w:val="0"/>
          <w:marTop w:val="0"/>
          <w:marBottom w:val="0"/>
          <w:divBdr>
            <w:top w:val="none" w:sz="0" w:space="0" w:color="auto"/>
            <w:left w:val="none" w:sz="0" w:space="0" w:color="auto"/>
            <w:bottom w:val="none" w:sz="0" w:space="0" w:color="auto"/>
            <w:right w:val="none" w:sz="0" w:space="0" w:color="auto"/>
          </w:divBdr>
        </w:div>
        <w:div w:id="1080059650">
          <w:marLeft w:val="0"/>
          <w:marRight w:val="0"/>
          <w:marTop w:val="0"/>
          <w:marBottom w:val="0"/>
          <w:divBdr>
            <w:top w:val="none" w:sz="0" w:space="0" w:color="auto"/>
            <w:left w:val="none" w:sz="0" w:space="0" w:color="auto"/>
            <w:bottom w:val="none" w:sz="0" w:space="0" w:color="auto"/>
            <w:right w:val="none" w:sz="0" w:space="0" w:color="auto"/>
          </w:divBdr>
        </w:div>
        <w:div w:id="1701393063">
          <w:marLeft w:val="0"/>
          <w:marRight w:val="0"/>
          <w:marTop w:val="120"/>
          <w:marBottom w:val="0"/>
          <w:divBdr>
            <w:top w:val="none" w:sz="0" w:space="0" w:color="auto"/>
            <w:left w:val="none" w:sz="0" w:space="0" w:color="auto"/>
            <w:bottom w:val="none" w:sz="0" w:space="0" w:color="auto"/>
            <w:right w:val="none" w:sz="0" w:space="0" w:color="auto"/>
          </w:divBdr>
        </w:div>
        <w:div w:id="919604799">
          <w:marLeft w:val="0"/>
          <w:marRight w:val="0"/>
          <w:marTop w:val="0"/>
          <w:marBottom w:val="0"/>
          <w:divBdr>
            <w:top w:val="none" w:sz="0" w:space="0" w:color="auto"/>
            <w:left w:val="none" w:sz="0" w:space="0" w:color="auto"/>
            <w:bottom w:val="none" w:sz="0" w:space="0" w:color="auto"/>
            <w:right w:val="none" w:sz="0" w:space="0" w:color="auto"/>
          </w:divBdr>
        </w:div>
        <w:div w:id="419254135">
          <w:marLeft w:val="0"/>
          <w:marRight w:val="0"/>
          <w:marTop w:val="0"/>
          <w:marBottom w:val="0"/>
          <w:divBdr>
            <w:top w:val="none" w:sz="0" w:space="0" w:color="auto"/>
            <w:left w:val="none" w:sz="0" w:space="0" w:color="auto"/>
            <w:bottom w:val="none" w:sz="0" w:space="0" w:color="auto"/>
            <w:right w:val="none" w:sz="0" w:space="0" w:color="auto"/>
          </w:divBdr>
        </w:div>
        <w:div w:id="775713661">
          <w:marLeft w:val="0"/>
          <w:marRight w:val="0"/>
          <w:marTop w:val="0"/>
          <w:marBottom w:val="0"/>
          <w:divBdr>
            <w:top w:val="none" w:sz="0" w:space="0" w:color="auto"/>
            <w:left w:val="none" w:sz="0" w:space="0" w:color="auto"/>
            <w:bottom w:val="none" w:sz="0" w:space="0" w:color="auto"/>
            <w:right w:val="none" w:sz="0" w:space="0" w:color="auto"/>
          </w:divBdr>
        </w:div>
        <w:div w:id="670258175">
          <w:marLeft w:val="0"/>
          <w:marRight w:val="0"/>
          <w:marTop w:val="0"/>
          <w:marBottom w:val="0"/>
          <w:divBdr>
            <w:top w:val="none" w:sz="0" w:space="0" w:color="auto"/>
            <w:left w:val="none" w:sz="0" w:space="0" w:color="auto"/>
            <w:bottom w:val="none" w:sz="0" w:space="0" w:color="auto"/>
            <w:right w:val="none" w:sz="0" w:space="0" w:color="auto"/>
          </w:divBdr>
        </w:div>
        <w:div w:id="173963703">
          <w:marLeft w:val="0"/>
          <w:marRight w:val="0"/>
          <w:marTop w:val="0"/>
          <w:marBottom w:val="0"/>
          <w:divBdr>
            <w:top w:val="none" w:sz="0" w:space="0" w:color="auto"/>
            <w:left w:val="none" w:sz="0" w:space="0" w:color="auto"/>
            <w:bottom w:val="none" w:sz="0" w:space="0" w:color="auto"/>
            <w:right w:val="none" w:sz="0" w:space="0" w:color="auto"/>
          </w:divBdr>
        </w:div>
        <w:div w:id="521091610">
          <w:marLeft w:val="0"/>
          <w:marRight w:val="0"/>
          <w:marTop w:val="0"/>
          <w:marBottom w:val="0"/>
          <w:divBdr>
            <w:top w:val="none" w:sz="0" w:space="0" w:color="auto"/>
            <w:left w:val="none" w:sz="0" w:space="0" w:color="auto"/>
            <w:bottom w:val="none" w:sz="0" w:space="0" w:color="auto"/>
            <w:right w:val="none" w:sz="0" w:space="0" w:color="auto"/>
          </w:divBdr>
        </w:div>
        <w:div w:id="232471554">
          <w:marLeft w:val="0"/>
          <w:marRight w:val="0"/>
          <w:marTop w:val="0"/>
          <w:marBottom w:val="0"/>
          <w:divBdr>
            <w:top w:val="none" w:sz="0" w:space="0" w:color="auto"/>
            <w:left w:val="none" w:sz="0" w:space="0" w:color="auto"/>
            <w:bottom w:val="none" w:sz="0" w:space="0" w:color="auto"/>
            <w:right w:val="none" w:sz="0" w:space="0" w:color="auto"/>
          </w:divBdr>
        </w:div>
        <w:div w:id="1005473029">
          <w:marLeft w:val="0"/>
          <w:marRight w:val="0"/>
          <w:marTop w:val="0"/>
          <w:marBottom w:val="0"/>
          <w:divBdr>
            <w:top w:val="none" w:sz="0" w:space="0" w:color="auto"/>
            <w:left w:val="none" w:sz="0" w:space="0" w:color="auto"/>
            <w:bottom w:val="none" w:sz="0" w:space="0" w:color="auto"/>
            <w:right w:val="none" w:sz="0" w:space="0" w:color="auto"/>
          </w:divBdr>
        </w:div>
        <w:div w:id="1556967939">
          <w:marLeft w:val="0"/>
          <w:marRight w:val="0"/>
          <w:marTop w:val="0"/>
          <w:marBottom w:val="0"/>
          <w:divBdr>
            <w:top w:val="none" w:sz="0" w:space="0" w:color="auto"/>
            <w:left w:val="none" w:sz="0" w:space="0" w:color="auto"/>
            <w:bottom w:val="none" w:sz="0" w:space="0" w:color="auto"/>
            <w:right w:val="none" w:sz="0" w:space="0" w:color="auto"/>
          </w:divBdr>
        </w:div>
        <w:div w:id="263926562">
          <w:marLeft w:val="0"/>
          <w:marRight w:val="0"/>
          <w:marTop w:val="0"/>
          <w:marBottom w:val="0"/>
          <w:divBdr>
            <w:top w:val="none" w:sz="0" w:space="0" w:color="auto"/>
            <w:left w:val="none" w:sz="0" w:space="0" w:color="auto"/>
            <w:bottom w:val="none" w:sz="0" w:space="0" w:color="auto"/>
            <w:right w:val="none" w:sz="0" w:space="0" w:color="auto"/>
          </w:divBdr>
        </w:div>
        <w:div w:id="1173305010">
          <w:marLeft w:val="0"/>
          <w:marRight w:val="0"/>
          <w:marTop w:val="0"/>
          <w:marBottom w:val="0"/>
          <w:divBdr>
            <w:top w:val="none" w:sz="0" w:space="0" w:color="auto"/>
            <w:left w:val="none" w:sz="0" w:space="0" w:color="auto"/>
            <w:bottom w:val="none" w:sz="0" w:space="0" w:color="auto"/>
            <w:right w:val="none" w:sz="0" w:space="0" w:color="auto"/>
          </w:divBdr>
        </w:div>
        <w:div w:id="1705330320">
          <w:marLeft w:val="0"/>
          <w:marRight w:val="0"/>
          <w:marTop w:val="0"/>
          <w:marBottom w:val="0"/>
          <w:divBdr>
            <w:top w:val="none" w:sz="0" w:space="0" w:color="auto"/>
            <w:left w:val="none" w:sz="0" w:space="0" w:color="auto"/>
            <w:bottom w:val="none" w:sz="0" w:space="0" w:color="auto"/>
            <w:right w:val="none" w:sz="0" w:space="0" w:color="auto"/>
          </w:divBdr>
        </w:div>
        <w:div w:id="267855223">
          <w:marLeft w:val="0"/>
          <w:marRight w:val="0"/>
          <w:marTop w:val="0"/>
          <w:marBottom w:val="0"/>
          <w:divBdr>
            <w:top w:val="none" w:sz="0" w:space="0" w:color="auto"/>
            <w:left w:val="none" w:sz="0" w:space="0" w:color="auto"/>
            <w:bottom w:val="none" w:sz="0" w:space="0" w:color="auto"/>
            <w:right w:val="none" w:sz="0" w:space="0" w:color="auto"/>
          </w:divBdr>
        </w:div>
        <w:div w:id="1320766737">
          <w:marLeft w:val="0"/>
          <w:marRight w:val="0"/>
          <w:marTop w:val="0"/>
          <w:marBottom w:val="0"/>
          <w:divBdr>
            <w:top w:val="none" w:sz="0" w:space="0" w:color="auto"/>
            <w:left w:val="none" w:sz="0" w:space="0" w:color="auto"/>
            <w:bottom w:val="none" w:sz="0" w:space="0" w:color="auto"/>
            <w:right w:val="none" w:sz="0" w:space="0" w:color="auto"/>
          </w:divBdr>
        </w:div>
        <w:div w:id="299726399">
          <w:marLeft w:val="0"/>
          <w:marRight w:val="0"/>
          <w:marTop w:val="120"/>
          <w:marBottom w:val="0"/>
          <w:divBdr>
            <w:top w:val="none" w:sz="0" w:space="0" w:color="auto"/>
            <w:left w:val="none" w:sz="0" w:space="0" w:color="auto"/>
            <w:bottom w:val="none" w:sz="0" w:space="0" w:color="auto"/>
            <w:right w:val="none" w:sz="0" w:space="0" w:color="auto"/>
          </w:divBdr>
        </w:div>
        <w:div w:id="2103446950">
          <w:marLeft w:val="0"/>
          <w:marRight w:val="0"/>
          <w:marTop w:val="0"/>
          <w:marBottom w:val="0"/>
          <w:divBdr>
            <w:top w:val="none" w:sz="0" w:space="0" w:color="auto"/>
            <w:left w:val="none" w:sz="0" w:space="0" w:color="auto"/>
            <w:bottom w:val="none" w:sz="0" w:space="0" w:color="auto"/>
            <w:right w:val="none" w:sz="0" w:space="0" w:color="auto"/>
          </w:divBdr>
        </w:div>
        <w:div w:id="359084976">
          <w:marLeft w:val="0"/>
          <w:marRight w:val="0"/>
          <w:marTop w:val="0"/>
          <w:marBottom w:val="0"/>
          <w:divBdr>
            <w:top w:val="none" w:sz="0" w:space="0" w:color="auto"/>
            <w:left w:val="none" w:sz="0" w:space="0" w:color="auto"/>
            <w:bottom w:val="none" w:sz="0" w:space="0" w:color="auto"/>
            <w:right w:val="none" w:sz="0" w:space="0" w:color="auto"/>
          </w:divBdr>
        </w:div>
        <w:div w:id="1878347141">
          <w:marLeft w:val="0"/>
          <w:marRight w:val="0"/>
          <w:marTop w:val="0"/>
          <w:marBottom w:val="0"/>
          <w:divBdr>
            <w:top w:val="none" w:sz="0" w:space="0" w:color="auto"/>
            <w:left w:val="none" w:sz="0" w:space="0" w:color="auto"/>
            <w:bottom w:val="none" w:sz="0" w:space="0" w:color="auto"/>
            <w:right w:val="none" w:sz="0" w:space="0" w:color="auto"/>
          </w:divBdr>
        </w:div>
        <w:div w:id="192037482">
          <w:marLeft w:val="0"/>
          <w:marRight w:val="0"/>
          <w:marTop w:val="120"/>
          <w:marBottom w:val="0"/>
          <w:divBdr>
            <w:top w:val="none" w:sz="0" w:space="0" w:color="auto"/>
            <w:left w:val="none" w:sz="0" w:space="0" w:color="auto"/>
            <w:bottom w:val="none" w:sz="0" w:space="0" w:color="auto"/>
            <w:right w:val="none" w:sz="0" w:space="0" w:color="auto"/>
          </w:divBdr>
        </w:div>
        <w:div w:id="1714424099">
          <w:marLeft w:val="0"/>
          <w:marRight w:val="0"/>
          <w:marTop w:val="0"/>
          <w:marBottom w:val="0"/>
          <w:divBdr>
            <w:top w:val="none" w:sz="0" w:space="0" w:color="auto"/>
            <w:left w:val="none" w:sz="0" w:space="0" w:color="auto"/>
            <w:bottom w:val="none" w:sz="0" w:space="0" w:color="auto"/>
            <w:right w:val="none" w:sz="0" w:space="0" w:color="auto"/>
          </w:divBdr>
        </w:div>
        <w:div w:id="365103681">
          <w:marLeft w:val="0"/>
          <w:marRight w:val="0"/>
          <w:marTop w:val="0"/>
          <w:marBottom w:val="0"/>
          <w:divBdr>
            <w:top w:val="none" w:sz="0" w:space="0" w:color="auto"/>
            <w:left w:val="none" w:sz="0" w:space="0" w:color="auto"/>
            <w:bottom w:val="none" w:sz="0" w:space="0" w:color="auto"/>
            <w:right w:val="none" w:sz="0" w:space="0" w:color="auto"/>
          </w:divBdr>
        </w:div>
        <w:div w:id="1781796528">
          <w:marLeft w:val="0"/>
          <w:marRight w:val="0"/>
          <w:marTop w:val="0"/>
          <w:marBottom w:val="0"/>
          <w:divBdr>
            <w:top w:val="none" w:sz="0" w:space="0" w:color="auto"/>
            <w:left w:val="none" w:sz="0" w:space="0" w:color="auto"/>
            <w:bottom w:val="none" w:sz="0" w:space="0" w:color="auto"/>
            <w:right w:val="none" w:sz="0" w:space="0" w:color="auto"/>
          </w:divBdr>
        </w:div>
        <w:div w:id="2087454421">
          <w:marLeft w:val="0"/>
          <w:marRight w:val="0"/>
          <w:marTop w:val="0"/>
          <w:marBottom w:val="0"/>
          <w:divBdr>
            <w:top w:val="none" w:sz="0" w:space="0" w:color="auto"/>
            <w:left w:val="none" w:sz="0" w:space="0" w:color="auto"/>
            <w:bottom w:val="none" w:sz="0" w:space="0" w:color="auto"/>
            <w:right w:val="none" w:sz="0" w:space="0" w:color="auto"/>
          </w:divBdr>
        </w:div>
        <w:div w:id="747074955">
          <w:marLeft w:val="0"/>
          <w:marRight w:val="0"/>
          <w:marTop w:val="0"/>
          <w:marBottom w:val="0"/>
          <w:divBdr>
            <w:top w:val="none" w:sz="0" w:space="0" w:color="auto"/>
            <w:left w:val="none" w:sz="0" w:space="0" w:color="auto"/>
            <w:bottom w:val="none" w:sz="0" w:space="0" w:color="auto"/>
            <w:right w:val="none" w:sz="0" w:space="0" w:color="auto"/>
          </w:divBdr>
        </w:div>
        <w:div w:id="2021076390">
          <w:marLeft w:val="0"/>
          <w:marRight w:val="0"/>
          <w:marTop w:val="0"/>
          <w:marBottom w:val="0"/>
          <w:divBdr>
            <w:top w:val="none" w:sz="0" w:space="0" w:color="auto"/>
            <w:left w:val="none" w:sz="0" w:space="0" w:color="auto"/>
            <w:bottom w:val="none" w:sz="0" w:space="0" w:color="auto"/>
            <w:right w:val="none" w:sz="0" w:space="0" w:color="auto"/>
          </w:divBdr>
        </w:div>
        <w:div w:id="1151022953">
          <w:marLeft w:val="0"/>
          <w:marRight w:val="0"/>
          <w:marTop w:val="0"/>
          <w:marBottom w:val="0"/>
          <w:divBdr>
            <w:top w:val="none" w:sz="0" w:space="0" w:color="auto"/>
            <w:left w:val="none" w:sz="0" w:space="0" w:color="auto"/>
            <w:bottom w:val="none" w:sz="0" w:space="0" w:color="auto"/>
            <w:right w:val="none" w:sz="0" w:space="0" w:color="auto"/>
          </w:divBdr>
        </w:div>
        <w:div w:id="1381662065">
          <w:marLeft w:val="0"/>
          <w:marRight w:val="0"/>
          <w:marTop w:val="0"/>
          <w:marBottom w:val="0"/>
          <w:divBdr>
            <w:top w:val="none" w:sz="0" w:space="0" w:color="auto"/>
            <w:left w:val="none" w:sz="0" w:space="0" w:color="auto"/>
            <w:bottom w:val="none" w:sz="0" w:space="0" w:color="auto"/>
            <w:right w:val="none" w:sz="0" w:space="0" w:color="auto"/>
          </w:divBdr>
        </w:div>
        <w:div w:id="2141455888">
          <w:marLeft w:val="0"/>
          <w:marRight w:val="0"/>
          <w:marTop w:val="0"/>
          <w:marBottom w:val="0"/>
          <w:divBdr>
            <w:top w:val="none" w:sz="0" w:space="0" w:color="auto"/>
            <w:left w:val="none" w:sz="0" w:space="0" w:color="auto"/>
            <w:bottom w:val="none" w:sz="0" w:space="0" w:color="auto"/>
            <w:right w:val="none" w:sz="0" w:space="0" w:color="auto"/>
          </w:divBdr>
        </w:div>
        <w:div w:id="502549319">
          <w:marLeft w:val="0"/>
          <w:marRight w:val="0"/>
          <w:marTop w:val="120"/>
          <w:marBottom w:val="0"/>
          <w:divBdr>
            <w:top w:val="none" w:sz="0" w:space="0" w:color="auto"/>
            <w:left w:val="none" w:sz="0" w:space="0" w:color="auto"/>
            <w:bottom w:val="none" w:sz="0" w:space="0" w:color="auto"/>
            <w:right w:val="none" w:sz="0" w:space="0" w:color="auto"/>
          </w:divBdr>
        </w:div>
        <w:div w:id="79916329">
          <w:marLeft w:val="0"/>
          <w:marRight w:val="0"/>
          <w:marTop w:val="0"/>
          <w:marBottom w:val="0"/>
          <w:divBdr>
            <w:top w:val="none" w:sz="0" w:space="0" w:color="auto"/>
            <w:left w:val="none" w:sz="0" w:space="0" w:color="auto"/>
            <w:bottom w:val="none" w:sz="0" w:space="0" w:color="auto"/>
            <w:right w:val="none" w:sz="0" w:space="0" w:color="auto"/>
          </w:divBdr>
        </w:div>
        <w:div w:id="1941571357">
          <w:marLeft w:val="0"/>
          <w:marRight w:val="0"/>
          <w:marTop w:val="0"/>
          <w:marBottom w:val="0"/>
          <w:divBdr>
            <w:top w:val="none" w:sz="0" w:space="0" w:color="auto"/>
            <w:left w:val="none" w:sz="0" w:space="0" w:color="auto"/>
            <w:bottom w:val="none" w:sz="0" w:space="0" w:color="auto"/>
            <w:right w:val="none" w:sz="0" w:space="0" w:color="auto"/>
          </w:divBdr>
        </w:div>
        <w:div w:id="1681466283">
          <w:marLeft w:val="0"/>
          <w:marRight w:val="0"/>
          <w:marTop w:val="0"/>
          <w:marBottom w:val="0"/>
          <w:divBdr>
            <w:top w:val="none" w:sz="0" w:space="0" w:color="auto"/>
            <w:left w:val="none" w:sz="0" w:space="0" w:color="auto"/>
            <w:bottom w:val="none" w:sz="0" w:space="0" w:color="auto"/>
            <w:right w:val="none" w:sz="0" w:space="0" w:color="auto"/>
          </w:divBdr>
        </w:div>
        <w:div w:id="1735011425">
          <w:marLeft w:val="0"/>
          <w:marRight w:val="0"/>
          <w:marTop w:val="0"/>
          <w:marBottom w:val="0"/>
          <w:divBdr>
            <w:top w:val="none" w:sz="0" w:space="0" w:color="auto"/>
            <w:left w:val="none" w:sz="0" w:space="0" w:color="auto"/>
            <w:bottom w:val="none" w:sz="0" w:space="0" w:color="auto"/>
            <w:right w:val="none" w:sz="0" w:space="0" w:color="auto"/>
          </w:divBdr>
        </w:div>
        <w:div w:id="511261081">
          <w:marLeft w:val="0"/>
          <w:marRight w:val="0"/>
          <w:marTop w:val="0"/>
          <w:marBottom w:val="0"/>
          <w:divBdr>
            <w:top w:val="none" w:sz="0" w:space="0" w:color="auto"/>
            <w:left w:val="none" w:sz="0" w:space="0" w:color="auto"/>
            <w:bottom w:val="none" w:sz="0" w:space="0" w:color="auto"/>
            <w:right w:val="none" w:sz="0" w:space="0" w:color="auto"/>
          </w:divBdr>
        </w:div>
        <w:div w:id="991788108">
          <w:marLeft w:val="0"/>
          <w:marRight w:val="0"/>
          <w:marTop w:val="0"/>
          <w:marBottom w:val="0"/>
          <w:divBdr>
            <w:top w:val="none" w:sz="0" w:space="0" w:color="auto"/>
            <w:left w:val="none" w:sz="0" w:space="0" w:color="auto"/>
            <w:bottom w:val="none" w:sz="0" w:space="0" w:color="auto"/>
            <w:right w:val="none" w:sz="0" w:space="0" w:color="auto"/>
          </w:divBdr>
        </w:div>
        <w:div w:id="322396340">
          <w:marLeft w:val="0"/>
          <w:marRight w:val="0"/>
          <w:marTop w:val="0"/>
          <w:marBottom w:val="0"/>
          <w:divBdr>
            <w:top w:val="none" w:sz="0" w:space="0" w:color="auto"/>
            <w:left w:val="none" w:sz="0" w:space="0" w:color="auto"/>
            <w:bottom w:val="none" w:sz="0" w:space="0" w:color="auto"/>
            <w:right w:val="none" w:sz="0" w:space="0" w:color="auto"/>
          </w:divBdr>
        </w:div>
        <w:div w:id="104348254">
          <w:marLeft w:val="0"/>
          <w:marRight w:val="0"/>
          <w:marTop w:val="120"/>
          <w:marBottom w:val="0"/>
          <w:divBdr>
            <w:top w:val="none" w:sz="0" w:space="0" w:color="auto"/>
            <w:left w:val="none" w:sz="0" w:space="0" w:color="auto"/>
            <w:bottom w:val="none" w:sz="0" w:space="0" w:color="auto"/>
            <w:right w:val="none" w:sz="0" w:space="0" w:color="auto"/>
          </w:divBdr>
        </w:div>
        <w:div w:id="1384450254">
          <w:marLeft w:val="0"/>
          <w:marRight w:val="0"/>
          <w:marTop w:val="0"/>
          <w:marBottom w:val="0"/>
          <w:divBdr>
            <w:top w:val="none" w:sz="0" w:space="0" w:color="auto"/>
            <w:left w:val="none" w:sz="0" w:space="0" w:color="auto"/>
            <w:bottom w:val="none" w:sz="0" w:space="0" w:color="auto"/>
            <w:right w:val="none" w:sz="0" w:space="0" w:color="auto"/>
          </w:divBdr>
        </w:div>
        <w:div w:id="1629358108">
          <w:marLeft w:val="0"/>
          <w:marRight w:val="0"/>
          <w:marTop w:val="0"/>
          <w:marBottom w:val="0"/>
          <w:divBdr>
            <w:top w:val="none" w:sz="0" w:space="0" w:color="auto"/>
            <w:left w:val="none" w:sz="0" w:space="0" w:color="auto"/>
            <w:bottom w:val="none" w:sz="0" w:space="0" w:color="auto"/>
            <w:right w:val="none" w:sz="0" w:space="0" w:color="auto"/>
          </w:divBdr>
        </w:div>
        <w:div w:id="440616052">
          <w:marLeft w:val="0"/>
          <w:marRight w:val="0"/>
          <w:marTop w:val="0"/>
          <w:marBottom w:val="0"/>
          <w:divBdr>
            <w:top w:val="none" w:sz="0" w:space="0" w:color="auto"/>
            <w:left w:val="none" w:sz="0" w:space="0" w:color="auto"/>
            <w:bottom w:val="none" w:sz="0" w:space="0" w:color="auto"/>
            <w:right w:val="none" w:sz="0" w:space="0" w:color="auto"/>
          </w:divBdr>
        </w:div>
        <w:div w:id="844637226">
          <w:marLeft w:val="0"/>
          <w:marRight w:val="0"/>
          <w:marTop w:val="0"/>
          <w:marBottom w:val="0"/>
          <w:divBdr>
            <w:top w:val="none" w:sz="0" w:space="0" w:color="auto"/>
            <w:left w:val="none" w:sz="0" w:space="0" w:color="auto"/>
            <w:bottom w:val="none" w:sz="0" w:space="0" w:color="auto"/>
            <w:right w:val="none" w:sz="0" w:space="0" w:color="auto"/>
          </w:divBdr>
        </w:div>
        <w:div w:id="1857695196">
          <w:marLeft w:val="0"/>
          <w:marRight w:val="0"/>
          <w:marTop w:val="0"/>
          <w:marBottom w:val="0"/>
          <w:divBdr>
            <w:top w:val="none" w:sz="0" w:space="0" w:color="auto"/>
            <w:left w:val="none" w:sz="0" w:space="0" w:color="auto"/>
            <w:bottom w:val="none" w:sz="0" w:space="0" w:color="auto"/>
            <w:right w:val="none" w:sz="0" w:space="0" w:color="auto"/>
          </w:divBdr>
        </w:div>
        <w:div w:id="1527522378">
          <w:marLeft w:val="0"/>
          <w:marRight w:val="0"/>
          <w:marTop w:val="0"/>
          <w:marBottom w:val="0"/>
          <w:divBdr>
            <w:top w:val="none" w:sz="0" w:space="0" w:color="auto"/>
            <w:left w:val="none" w:sz="0" w:space="0" w:color="auto"/>
            <w:bottom w:val="none" w:sz="0" w:space="0" w:color="auto"/>
            <w:right w:val="none" w:sz="0" w:space="0" w:color="auto"/>
          </w:divBdr>
        </w:div>
        <w:div w:id="1196697382">
          <w:marLeft w:val="0"/>
          <w:marRight w:val="0"/>
          <w:marTop w:val="0"/>
          <w:marBottom w:val="0"/>
          <w:divBdr>
            <w:top w:val="none" w:sz="0" w:space="0" w:color="auto"/>
            <w:left w:val="none" w:sz="0" w:space="0" w:color="auto"/>
            <w:bottom w:val="none" w:sz="0" w:space="0" w:color="auto"/>
            <w:right w:val="none" w:sz="0" w:space="0" w:color="auto"/>
          </w:divBdr>
        </w:div>
        <w:div w:id="2021544835">
          <w:marLeft w:val="0"/>
          <w:marRight w:val="0"/>
          <w:marTop w:val="0"/>
          <w:marBottom w:val="0"/>
          <w:divBdr>
            <w:top w:val="none" w:sz="0" w:space="0" w:color="auto"/>
            <w:left w:val="none" w:sz="0" w:space="0" w:color="auto"/>
            <w:bottom w:val="none" w:sz="0" w:space="0" w:color="auto"/>
            <w:right w:val="none" w:sz="0" w:space="0" w:color="auto"/>
          </w:divBdr>
        </w:div>
        <w:div w:id="1481998047">
          <w:marLeft w:val="0"/>
          <w:marRight w:val="0"/>
          <w:marTop w:val="0"/>
          <w:marBottom w:val="0"/>
          <w:divBdr>
            <w:top w:val="none" w:sz="0" w:space="0" w:color="auto"/>
            <w:left w:val="none" w:sz="0" w:space="0" w:color="auto"/>
            <w:bottom w:val="none" w:sz="0" w:space="0" w:color="auto"/>
            <w:right w:val="none" w:sz="0" w:space="0" w:color="auto"/>
          </w:divBdr>
        </w:div>
        <w:div w:id="1441685597">
          <w:marLeft w:val="0"/>
          <w:marRight w:val="0"/>
          <w:marTop w:val="0"/>
          <w:marBottom w:val="0"/>
          <w:divBdr>
            <w:top w:val="none" w:sz="0" w:space="0" w:color="auto"/>
            <w:left w:val="none" w:sz="0" w:space="0" w:color="auto"/>
            <w:bottom w:val="none" w:sz="0" w:space="0" w:color="auto"/>
            <w:right w:val="none" w:sz="0" w:space="0" w:color="auto"/>
          </w:divBdr>
        </w:div>
        <w:div w:id="1725594772">
          <w:marLeft w:val="0"/>
          <w:marRight w:val="0"/>
          <w:marTop w:val="0"/>
          <w:marBottom w:val="0"/>
          <w:divBdr>
            <w:top w:val="none" w:sz="0" w:space="0" w:color="auto"/>
            <w:left w:val="none" w:sz="0" w:space="0" w:color="auto"/>
            <w:bottom w:val="none" w:sz="0" w:space="0" w:color="auto"/>
            <w:right w:val="none" w:sz="0" w:space="0" w:color="auto"/>
          </w:divBdr>
        </w:div>
        <w:div w:id="1544249910">
          <w:marLeft w:val="0"/>
          <w:marRight w:val="0"/>
          <w:marTop w:val="120"/>
          <w:marBottom w:val="0"/>
          <w:divBdr>
            <w:top w:val="none" w:sz="0" w:space="0" w:color="auto"/>
            <w:left w:val="none" w:sz="0" w:space="0" w:color="auto"/>
            <w:bottom w:val="none" w:sz="0" w:space="0" w:color="auto"/>
            <w:right w:val="none" w:sz="0" w:space="0" w:color="auto"/>
          </w:divBdr>
        </w:div>
        <w:div w:id="1772236231">
          <w:marLeft w:val="0"/>
          <w:marRight w:val="0"/>
          <w:marTop w:val="0"/>
          <w:marBottom w:val="0"/>
          <w:divBdr>
            <w:top w:val="none" w:sz="0" w:space="0" w:color="auto"/>
            <w:left w:val="none" w:sz="0" w:space="0" w:color="auto"/>
            <w:bottom w:val="none" w:sz="0" w:space="0" w:color="auto"/>
            <w:right w:val="none" w:sz="0" w:space="0" w:color="auto"/>
          </w:divBdr>
        </w:div>
        <w:div w:id="1008679682">
          <w:marLeft w:val="0"/>
          <w:marRight w:val="0"/>
          <w:marTop w:val="0"/>
          <w:marBottom w:val="0"/>
          <w:divBdr>
            <w:top w:val="none" w:sz="0" w:space="0" w:color="auto"/>
            <w:left w:val="none" w:sz="0" w:space="0" w:color="auto"/>
            <w:bottom w:val="none" w:sz="0" w:space="0" w:color="auto"/>
            <w:right w:val="none" w:sz="0" w:space="0" w:color="auto"/>
          </w:divBdr>
        </w:div>
        <w:div w:id="1659653383">
          <w:marLeft w:val="0"/>
          <w:marRight w:val="0"/>
          <w:marTop w:val="0"/>
          <w:marBottom w:val="0"/>
          <w:divBdr>
            <w:top w:val="none" w:sz="0" w:space="0" w:color="auto"/>
            <w:left w:val="none" w:sz="0" w:space="0" w:color="auto"/>
            <w:bottom w:val="none" w:sz="0" w:space="0" w:color="auto"/>
            <w:right w:val="none" w:sz="0" w:space="0" w:color="auto"/>
          </w:divBdr>
        </w:div>
        <w:div w:id="19082984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cp:revision>
  <dcterms:created xsi:type="dcterms:W3CDTF">2022-08-30T01:47:00Z</dcterms:created>
  <dcterms:modified xsi:type="dcterms:W3CDTF">2022-08-30T01:51:00Z</dcterms:modified>
</cp:coreProperties>
</file>